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Эндопротезы тазобедренного сустава с инструментами для имплантации SINTEL® по ТУ 32.50.22-005-61226735-2018. </w:t>
      </w:r>
    </w:p>
    <w:p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Состоит из: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9"/>
        <w:gridCol w:w="3396"/>
      </w:tblGrid>
      <w:tr>
        <w:tc>
          <w:tcPr>
            <w:tcW w:w="5949" w:type="dxa"/>
          </w:tcPr>
          <w:p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Бедренный компонент</w:t>
            </w:r>
          </w:p>
          <w:p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цементной фиксации STM</w:t>
            </w:r>
          </w:p>
          <w:p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Ножка эндопротеза бедренной кости непокрытая, однокомпонентная, </w:t>
            </w:r>
            <w:r>
              <w:rPr>
                <w:rFonts w:ascii="Times New Roman" w:hAnsi="Times New Roman"/>
                <w:bCs/>
              </w:rPr>
              <w:t xml:space="preserve">предназначена для замены шейки проксимального отдела бедренной кости при проведении тотальной артропластики тазобедренного сустава. </w:t>
            </w:r>
          </w:p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Размеры: 7.5; 10; 11.25; 13.75; 15</w:t>
            </w:r>
          </w:p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Стерильно.</w:t>
            </w:r>
          </w:p>
        </w:tc>
        <w:tc>
          <w:tcPr>
            <w:tcW w:w="3396" w:type="dxa"/>
          </w:tcPr>
          <w:p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24012" cy="1935252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390" cy="1957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w="5949" w:type="dxa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Вертлужный компонент цементной фиксации STM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полнопрофильный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,</w:t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диаметр 28 и 32 мм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Компонент эндопротеза тазобедренного сустава ацетабулярный полиэтиленовый</w:t>
            </w:r>
            <w:r>
              <w:rPr>
                <w:rFonts w:ascii="Times New Roman" w:hAnsi="Times New Roman"/>
              </w:rPr>
              <w:t>, предназначен для замены и восстановления вертлужной впадины. Компонент представляет собой цельную конструкцию, полностью выполненную из полиэтилена</w:t>
            </w:r>
          </w:p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Размеры: 46, 48, 50, 52. </w:t>
            </w:r>
          </w:p>
          <w:p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Стерильно.</w:t>
            </w:r>
          </w:p>
          <w:p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396" w:type="dxa"/>
          </w:tcPr>
          <w:p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-5132</wp:posOffset>
                  </wp:positionH>
                  <wp:positionV relativeFrom="paragraph">
                    <wp:posOffset>118964</wp:posOffset>
                  </wp:positionV>
                  <wp:extent cx="1494992" cy="95937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508" cy="9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c>
          <w:tcPr>
            <w:tcW w:w="5949" w:type="dxa"/>
          </w:tcPr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Вертлужный компонент цементной</w:t>
            </w:r>
          </w:p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фиксации STM, </w:t>
            </w:r>
            <w:r>
              <w:rPr>
                <w:rFonts w:ascii="Times New Roman" w:hAnsi="Times New Roman" w:cs="Times New Roman"/>
                <w:b/>
                <w:iCs/>
              </w:rPr>
              <w:t>низкопрофильный</w:t>
            </w:r>
            <w:r>
              <w:rPr>
                <w:rFonts w:ascii="Times New Roman" w:hAnsi="Times New Roman" w:cs="Times New Roman"/>
                <w:iCs/>
              </w:rPr>
              <w:t>,</w:t>
            </w:r>
            <w:r>
              <w:rPr>
                <w:rFonts w:ascii="Times New Roman" w:hAnsi="Times New Roman"/>
              </w:rPr>
              <w:t xml:space="preserve"> предназначено для замены и восстановления вертлужной впадины. Компонент представляет собой цельную конструкцию, полностью выполненную из полиэтилена</w:t>
            </w:r>
          </w:p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диаметр 32 мм</w:t>
            </w:r>
          </w:p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Размеры: 44, 46, 48, 50, 52, 58, 60</w:t>
            </w:r>
          </w:p>
          <w:p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Стерильно.</w:t>
            </w:r>
          </w:p>
        </w:tc>
        <w:tc>
          <w:tcPr>
            <w:tcW w:w="3396" w:type="dxa"/>
          </w:tcPr>
          <w:p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6350</wp:posOffset>
                  </wp:positionV>
                  <wp:extent cx="1495460" cy="898806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60" cy="898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bookmarkStart w:id="0" w:name="_GoBack"/>
        <w:bookmarkEnd w:id="0"/>
      </w:tr>
      <w:tr>
        <w:tc>
          <w:tcPr>
            <w:tcW w:w="5949" w:type="dxa"/>
          </w:tcPr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Вертлужный компонент цементной</w:t>
            </w:r>
          </w:p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фиксации STM,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Snap</w:t>
            </w:r>
            <w:proofErr w:type="spellEnd"/>
            <w:r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Fit</w:t>
            </w:r>
            <w:proofErr w:type="spellEnd"/>
            <w:r>
              <w:rPr>
                <w:rFonts w:ascii="Times New Roman" w:hAnsi="Times New Roman"/>
              </w:rPr>
              <w:t>, предназначено для замены и восстановления вертлужной впадины. Компонент представляет собой цельную конструкцию, полностью выполненную из полиэтилена</w:t>
            </w:r>
          </w:p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диаметр 32 мм</w:t>
            </w:r>
          </w:p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Размеры: 46, 48</w:t>
            </w:r>
          </w:p>
          <w:p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Стерильно.</w:t>
            </w:r>
          </w:p>
        </w:tc>
        <w:tc>
          <w:tcPr>
            <w:tcW w:w="3396" w:type="dxa"/>
          </w:tcPr>
          <w:p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47800" cy="870162"/>
                  <wp:effectExtent l="0" t="0" r="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906" cy="8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233"/>
        </w:trPr>
        <w:tc>
          <w:tcPr>
            <w:tcW w:w="5949" w:type="dxa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Бедренная головка,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CoCrMo</w:t>
            </w:r>
            <w:proofErr w:type="spellEnd"/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Эндопротез головки бедренной кости металлический</w:t>
            </w:r>
          </w:p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Стерильный имплантируемый искусственный заменитель поврежденной в результате травмы или заболевания головки бедренной кости с металлической внешней поверхностью. </w:t>
            </w:r>
          </w:p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Размеры: 32 M, 32 L, 32 XL, 32 XXL</w:t>
            </w:r>
          </w:p>
          <w:p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Стерильно.</w:t>
            </w:r>
          </w:p>
        </w:tc>
        <w:tc>
          <w:tcPr>
            <w:tcW w:w="3396" w:type="dxa"/>
          </w:tcPr>
          <w:p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6360" cy="1284077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739" cy="1310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/>
    <w:sectPr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8AAEED-D6A8-4631-A5DD-232155218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3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2022-01-17T08:24:00Z</cp:lastPrinted>
  <dcterms:created xsi:type="dcterms:W3CDTF">2021-12-10T10:01:00Z</dcterms:created>
  <dcterms:modified xsi:type="dcterms:W3CDTF">2025-08-14T04:18:00Z</dcterms:modified>
</cp:coreProperties>
</file>